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4D3F" w14:textId="09381AB5" w:rsidR="0093103A" w:rsidRPr="004572E4" w:rsidRDefault="0093103A" w:rsidP="0093103A">
      <w:pPr>
        <w:spacing w:line="240" w:lineRule="auto"/>
        <w:rPr>
          <w:rFonts w:ascii="Invesco Interstate Bold" w:hAnsi="Invesco Interstate Bold"/>
          <w:b/>
          <w:bCs/>
          <w:sz w:val="24"/>
        </w:rPr>
      </w:pPr>
      <w:proofErr w:type="spellStart"/>
      <w:r w:rsidRPr="004572E4">
        <w:rPr>
          <w:rFonts w:ascii="Invesco Interstate Bold" w:hAnsi="Invesco Interstate Bold"/>
          <w:b/>
          <w:bCs/>
          <w:sz w:val="24"/>
        </w:rPr>
        <w:t>I</w:t>
      </w:r>
      <w:r w:rsidR="00E66D8C">
        <w:rPr>
          <w:rFonts w:ascii="Invesco Interstate Bold" w:hAnsi="Invesco Interstate Bold"/>
          <w:b/>
          <w:bCs/>
          <w:sz w:val="24"/>
        </w:rPr>
        <w:t>nvesco</w:t>
      </w:r>
      <w:proofErr w:type="spellEnd"/>
      <w:r w:rsidR="00E66D8C">
        <w:rPr>
          <w:rFonts w:ascii="Invesco Interstate Bold" w:hAnsi="Invesco Interstate Bold"/>
          <w:b/>
          <w:bCs/>
          <w:sz w:val="24"/>
        </w:rPr>
        <w:t>: I</w:t>
      </w:r>
      <w:r w:rsidRPr="004572E4">
        <w:rPr>
          <w:rFonts w:ascii="Invesco Interstate Bold" w:hAnsi="Invesco Interstate Bold"/>
          <w:b/>
          <w:bCs/>
          <w:sz w:val="24"/>
        </w:rPr>
        <w:t xml:space="preserve">nvestiční </w:t>
      </w:r>
      <w:r w:rsidR="007816D9">
        <w:rPr>
          <w:rFonts w:ascii="Invesco Interstate Bold" w:hAnsi="Invesco Interstate Bold"/>
          <w:b/>
          <w:bCs/>
          <w:sz w:val="24"/>
        </w:rPr>
        <w:t>pojištění</w:t>
      </w:r>
      <w:r w:rsidR="00E66D8C">
        <w:rPr>
          <w:rFonts w:ascii="Invesco Interstate Bold" w:hAnsi="Invesco Interstate Bold"/>
          <w:b/>
          <w:bCs/>
          <w:sz w:val="24"/>
        </w:rPr>
        <w:t xml:space="preserve"> </w:t>
      </w:r>
      <w:r w:rsidR="003B544C" w:rsidRPr="003B544C">
        <w:rPr>
          <w:rFonts w:ascii="Invesco Interstate Bold" w:hAnsi="Invesco Interstate Bold"/>
          <w:b/>
          <w:bCs/>
          <w:sz w:val="24"/>
        </w:rPr>
        <w:t>–</w:t>
      </w:r>
      <w:r w:rsidR="003B544C">
        <w:rPr>
          <w:rFonts w:ascii="Invesco Interstate Light" w:hAnsi="Invesco Interstate Light"/>
          <w:i/>
          <w:iCs/>
          <w:sz w:val="22"/>
          <w:szCs w:val="22"/>
        </w:rPr>
        <w:t xml:space="preserve"> </w:t>
      </w:r>
      <w:r w:rsidR="00E66D8C">
        <w:rPr>
          <w:rFonts w:ascii="Invesco Interstate Bold" w:hAnsi="Invesco Interstate Bold"/>
          <w:b/>
          <w:bCs/>
          <w:sz w:val="24"/>
        </w:rPr>
        <w:t>b</w:t>
      </w:r>
      <w:r w:rsidR="007816D9">
        <w:rPr>
          <w:rFonts w:ascii="Invesco Interstate Bold" w:hAnsi="Invesco Interstate Bold"/>
          <w:b/>
          <w:bCs/>
          <w:sz w:val="24"/>
        </w:rPr>
        <w:t>ude třeba v roce 2023 změnit staré zvyky?</w:t>
      </w:r>
    </w:p>
    <w:p w14:paraId="33E02736" w14:textId="2C0C09CE" w:rsidR="007816D9" w:rsidRPr="007816D9" w:rsidRDefault="007816D9" w:rsidP="007816D9">
      <w:pPr>
        <w:pStyle w:val="Normlnweb"/>
        <w:shd w:val="clear" w:color="auto" w:fill="FFFFFF"/>
        <w:spacing w:after="300"/>
        <w:jc w:val="both"/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</w:pPr>
      <w:r w:rsidRPr="007816D9"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  <w:t>Inflace bude pravděpodobně přetrvávat i v roce 2023 a donutí mnoho pojistitelů diverzifikovat svá aktiva ve snaze chránit se před jejími bezprostředními i dlouhodobými dopady. Tlak regulačních orgánů na odvětví pojišťoven bude také sílit, což přinese nové požadavky týkající se například řízení rizik, udržitelnosti a uspokojování zájmů klientů. Tváří v tvář těmto výzvám si pojistitelé musí uvědomit, že investiční strategie, které se mohly v minulosti ukázat jako účinné, se v budoucnu nemusí ukázat jako tak účinné.</w:t>
      </w:r>
    </w:p>
    <w:p w14:paraId="7F602965" w14:textId="0C6432FD" w:rsidR="004401BA" w:rsidRDefault="007816D9" w:rsidP="007816D9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7816D9">
        <w:rPr>
          <w:rFonts w:ascii="Invesco Interstate Light" w:hAnsi="Invesco Interstate Light"/>
          <w:sz w:val="22"/>
          <w:szCs w:val="22"/>
        </w:rPr>
        <w:t xml:space="preserve">Ve 30. letech 20. století, v době velké hospodářské krize, stál John </w:t>
      </w:r>
      <w:proofErr w:type="spellStart"/>
      <w:r w:rsidRPr="007816D9">
        <w:rPr>
          <w:rFonts w:ascii="Invesco Interstate Light" w:hAnsi="Invesco Interstate Light"/>
          <w:sz w:val="22"/>
          <w:szCs w:val="22"/>
        </w:rPr>
        <w:t>Maynard</w:t>
      </w:r>
      <w:proofErr w:type="spellEnd"/>
      <w:r w:rsidRPr="007816D9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7816D9">
        <w:rPr>
          <w:rFonts w:ascii="Invesco Interstate Light" w:hAnsi="Invesco Interstate Light"/>
          <w:sz w:val="22"/>
          <w:szCs w:val="22"/>
        </w:rPr>
        <w:t>Keynes</w:t>
      </w:r>
      <w:proofErr w:type="spellEnd"/>
      <w:r w:rsidRPr="007816D9">
        <w:rPr>
          <w:rFonts w:ascii="Invesco Interstate Light" w:hAnsi="Invesco Interstate Light"/>
          <w:sz w:val="22"/>
          <w:szCs w:val="22"/>
        </w:rPr>
        <w:t xml:space="preserve"> v čele revoluce v ekonomickém myšlení. Zpochybnil zavedené principy neoklasické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7816D9">
        <w:rPr>
          <w:rFonts w:ascii="Invesco Interstate Light" w:hAnsi="Invesco Interstate Light"/>
          <w:sz w:val="22"/>
          <w:szCs w:val="22"/>
        </w:rPr>
        <w:t>ekonomie, a nakonec změnil přístup k měnové a fiskální politice.</w:t>
      </w:r>
    </w:p>
    <w:p w14:paraId="7FBB7125" w14:textId="08E25111" w:rsidR="007816D9" w:rsidRPr="007816D9" w:rsidRDefault="007816D9" w:rsidP="007816D9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7816D9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Když popisoval proces získávání uznání pro své převratné teorie, </w:t>
      </w:r>
      <w:proofErr w:type="spellStart"/>
      <w:r w:rsidRPr="007816D9">
        <w:rPr>
          <w:rFonts w:ascii="Invesco Interstate Light" w:eastAsia="Times New Roman" w:hAnsi="Invesco Interstate Light"/>
          <w:sz w:val="22"/>
          <w:szCs w:val="22"/>
          <w:lang w:eastAsia="de-DE"/>
        </w:rPr>
        <w:t>Keynes</w:t>
      </w:r>
      <w:proofErr w:type="spellEnd"/>
      <w:r w:rsidRPr="007816D9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jednou poznamenal</w:t>
      </w:r>
      <w:r w:rsidR="00F7561D">
        <w:rPr>
          <w:rFonts w:ascii="Invesco Interstate Light" w:eastAsia="Times New Roman" w:hAnsi="Invesco Interstate Light"/>
          <w:sz w:val="22"/>
          <w:szCs w:val="22"/>
          <w:lang w:eastAsia="de-DE"/>
        </w:rPr>
        <w:t>, že o</w:t>
      </w:r>
      <w:r w:rsidRPr="00F7561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btížnost nespočívá ani tak v rozvíjení nových myšlenek, jako spíše v úniku od těch starých. </w:t>
      </w:r>
      <w:r w:rsidRPr="007816D9">
        <w:rPr>
          <w:rFonts w:ascii="Invesco Interstate Light" w:eastAsia="Times New Roman" w:hAnsi="Invesco Interstate Light"/>
          <w:sz w:val="22"/>
          <w:szCs w:val="22"/>
          <w:lang w:eastAsia="de-DE"/>
        </w:rPr>
        <w:t>Dnes, kdy pojišťovny čelí téměř nepřetržitému toku nových výzev, by si měly tento postřeh zapamatovat.</w:t>
      </w:r>
    </w:p>
    <w:p w14:paraId="059FCC37" w14:textId="20F3D545" w:rsidR="007816D9" w:rsidRPr="007816D9" w:rsidRDefault="00F7561D" w:rsidP="007816D9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>„</w:t>
      </w:r>
      <w:r w:rsidR="007816D9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Rok 2022 byl determinovaný inflací, která bude hrát významnou roli i v roce 2023, a v příštím roce vstoupí v platnost také různé regulační iniciativy. Jak vysvětluje tento článek, tato a další dynamika by mohla pojistitele donutit přehodnotit dlouho zažité investiční zvyklosti</w:t>
      </w: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,“ říká </w:t>
      </w:r>
      <w:r w:rsidRPr="00D0718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Charles </w:t>
      </w:r>
      <w:proofErr w:type="spellStart"/>
      <w:r w:rsidRPr="00D0718D">
        <w:rPr>
          <w:rFonts w:ascii="Invesco Interstate Light" w:eastAsia="Times New Roman" w:hAnsi="Invesco Interstate Light"/>
          <w:sz w:val="22"/>
          <w:szCs w:val="22"/>
          <w:lang w:eastAsia="de-DE"/>
        </w:rPr>
        <w:t>Moussier</w:t>
      </w:r>
      <w:proofErr w:type="spellEnd"/>
      <w:r w:rsidRPr="00D0718D">
        <w:rPr>
          <w:rFonts w:ascii="Invesco Interstate Light" w:eastAsia="Times New Roman" w:hAnsi="Invesco Interstate Light"/>
          <w:sz w:val="22"/>
          <w:szCs w:val="22"/>
          <w:lang w:eastAsia="de-DE"/>
        </w:rPr>
        <w:t>, vedoucí</w:t>
      </w:r>
      <w:r w:rsidRPr="00F7561D">
        <w:rPr>
          <w:rFonts w:ascii="Arial" w:hAnsi="Arial" w:cs="Arial"/>
          <w:color w:val="000000"/>
          <w:sz w:val="21"/>
          <w:szCs w:val="21"/>
        </w:rPr>
        <w:t xml:space="preserve"> klientských </w:t>
      </w:r>
      <w:r w:rsidRPr="00F7561D">
        <w:rPr>
          <w:rFonts w:ascii="Arial" w:hAnsi="Arial" w:cs="Arial" w:hint="eastAsia"/>
          <w:color w:val="000000"/>
          <w:sz w:val="21"/>
          <w:szCs w:val="21"/>
        </w:rPr>
        <w:t>ř</w:t>
      </w:r>
      <w:r w:rsidRPr="00F7561D">
        <w:rPr>
          <w:rFonts w:ascii="Arial" w:hAnsi="Arial" w:cs="Arial"/>
          <w:color w:val="000000"/>
          <w:sz w:val="21"/>
          <w:szCs w:val="21"/>
        </w:rPr>
        <w:t>ešení pro oblast EMEA</w:t>
      </w:r>
      <w:r w:rsidR="00F36FB5">
        <w:rPr>
          <w:rFonts w:ascii="Arial" w:hAnsi="Arial" w:cs="Arial"/>
          <w:color w:val="000000"/>
          <w:sz w:val="21"/>
          <w:szCs w:val="21"/>
        </w:rPr>
        <w:t xml:space="preserve"> ve společnosti Invesco</w:t>
      </w:r>
      <w:r w:rsidR="008F520B">
        <w:rPr>
          <w:rFonts w:ascii="Arial" w:hAnsi="Arial" w:cs="Arial"/>
          <w:color w:val="000000"/>
          <w:sz w:val="21"/>
          <w:szCs w:val="21"/>
        </w:rPr>
        <w:t>.</w:t>
      </w:r>
    </w:p>
    <w:p w14:paraId="05517394" w14:textId="77777777" w:rsidR="007816D9" w:rsidRPr="007816D9" w:rsidRDefault="007816D9" w:rsidP="007816D9">
      <w:pPr>
        <w:pStyle w:val="Normlnweb"/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</w:pPr>
      <w:r w:rsidRPr="007816D9"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  <w:t>Inflace, budoucnost a snaha o překonání výkonnosti</w:t>
      </w:r>
    </w:p>
    <w:p w14:paraId="33A607ED" w14:textId="32B92D62" w:rsidR="00D16DEF" w:rsidRPr="00F36FB5" w:rsidRDefault="00F36FB5" w:rsidP="00D16DEF">
      <w:pPr>
        <w:pStyle w:val="Normlnweb"/>
        <w:jc w:val="both"/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</w:pP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>„</w:t>
      </w:r>
      <w:r w:rsidR="007816D9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Rekordní úrov</w:t>
      </w:r>
      <w:r w:rsidR="008F520B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eň</w:t>
      </w:r>
      <w:r w:rsidR="007816D9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inflace</w:t>
      </w:r>
      <w:r w:rsidR="008F520B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, které</w:t>
      </w:r>
      <w:r w:rsidR="007816D9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jsme byli svědky v roce 2022, byla pro pojistitele obzvláště těžkou zkouškou. Toto odvětví je totiž neobvykle zranitelné </w:t>
      </w:r>
      <w:r w:rsidR="008F520B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při </w:t>
      </w:r>
      <w:r w:rsidR="007816D9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ohrožení kupní síly.</w:t>
      </w:r>
      <w:r w:rsidR="008F520B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</w:t>
      </w:r>
      <w:r w:rsidR="00D16DEF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Je to proto, že inflace může ovlivnit obě strany rozvahy pojistitele. Někdy může způsobit dvojí úder, a to pokles hodnoty aktiv a současný nárůst hodnoty závazků.</w:t>
      </w:r>
    </w:p>
    <w:p w14:paraId="2FCF0B36" w14:textId="28AD28E6" w:rsidR="00D16DEF" w:rsidRPr="00A8452A" w:rsidRDefault="00D16DEF" w:rsidP="00D16DE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Do budoucna bude vývoj inflace nadále určovat měnovou politiku. Ta zase bude určovat povahu a rychlost oživení. Centrální banky budou pokračovat v utahování měnové politiky, pokud inflace</w:t>
      </w:r>
      <w:r w:rsidRPr="00F36FB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přetrvá, ale pokud se inflace v nadcházejících měsících zmírní, může dojít k</w:t>
      </w:r>
      <w:r w:rsidR="00F36FB5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 </w:t>
      </w:r>
      <w:r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přestávce</w:t>
      </w:r>
      <w:r w:rsidR="00F36FB5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,“ poukazuje na vliv inflace </w:t>
      </w:r>
      <w:r w:rsidR="00F36FB5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Charles </w:t>
      </w:r>
      <w:proofErr w:type="spellStart"/>
      <w:r w:rsidR="00F36FB5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>Moussier</w:t>
      </w:r>
      <w:proofErr w:type="spellEnd"/>
      <w:r w:rsidR="00F36FB5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z</w:t>
      </w:r>
      <w:r w:rsidR="00377371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> </w:t>
      </w:r>
      <w:proofErr w:type="spellStart"/>
      <w:r w:rsidR="00F36FB5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>Invesca</w:t>
      </w:r>
      <w:proofErr w:type="spellEnd"/>
      <w:r w:rsidR="00377371" w:rsidRPr="008A7A2F">
        <w:rPr>
          <w:rFonts w:ascii="Invesco Interstate Light" w:eastAsia="Times New Roman" w:hAnsi="Invesco Interstate Light"/>
          <w:sz w:val="22"/>
          <w:szCs w:val="22"/>
          <w:lang w:eastAsia="de-DE"/>
        </w:rPr>
        <w:t>.</w:t>
      </w:r>
    </w:p>
    <w:p w14:paraId="7E80EEE2" w14:textId="71F2E62E" w:rsidR="004401BA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Investiční výhled společnosti Invesco na rok 2023 upřednostňuje jako základní scénář druhou variantu. </w:t>
      </w:r>
      <w:r w:rsidR="00F36FB5">
        <w:rPr>
          <w:rFonts w:ascii="Invesco Interstate Light" w:eastAsia="Times New Roman" w:hAnsi="Invesco Interstate Light"/>
          <w:sz w:val="22"/>
          <w:szCs w:val="22"/>
          <w:lang w:eastAsia="de-DE"/>
        </w:rPr>
        <w:t>Vysvětluje</w:t>
      </w: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, že se v současné době nacházíme ve fázi kontrakce hospodářského cyklu, kdy je růst pod trendem a zpomaluje, a že oživení – za předpokladu, že inflace nezůstane vysoká – se začne projevovat později v průběhu roku.</w:t>
      </w:r>
    </w:p>
    <w:p w14:paraId="2C245F27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Oživení by mělo přinést zrychlení růstu, i když stále pod trendem. Vzhledem k tomu, že ceny aktiv jsou samy o sobě cyklické, mělo by to také vést k tomu, že riziková aktiva budou mít v průběhu času lepší výkonnost.</w:t>
      </w:r>
    </w:p>
    <w:p w14:paraId="2C6026C3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Nevyhnutelnou otázkou pro investory všech typů je tedy, jaká aktiva budou s největší pravděpodobností dosahovat lepších výsledků, až se nový hospodářský cyklus rozběhne. Pro pojistitele však bude tento rozměr pravděpodobně jen jedou z kapitol celého příběhu, neboť rok 2023 bude rovněž kritickým rokem z hlediska regulatorní reformy.</w:t>
      </w:r>
    </w:p>
    <w:p w14:paraId="51059CB0" w14:textId="4E801374" w:rsidR="001850F5" w:rsidRDefault="00D16DEF" w:rsidP="59A5D358">
      <w:pPr>
        <w:autoSpaceDE w:val="0"/>
        <w:autoSpaceDN w:val="0"/>
        <w:adjustRightInd w:val="0"/>
        <w:spacing w:line="240" w:lineRule="auto"/>
        <w:rPr>
          <w:rFonts w:ascii="Invesco Interstate Bold" w:hAnsi="Invesco Interstate Bold"/>
          <w:b/>
          <w:bCs/>
          <w:sz w:val="22"/>
          <w:szCs w:val="22"/>
        </w:rPr>
      </w:pPr>
      <w:r w:rsidRPr="00D16DEF">
        <w:rPr>
          <w:rFonts w:ascii="Invesco Interstate Bold" w:hAnsi="Invesco Interstate Bold"/>
          <w:b/>
          <w:bCs/>
          <w:sz w:val="22"/>
          <w:szCs w:val="22"/>
        </w:rPr>
        <w:lastRenderedPageBreak/>
        <w:t>Měnící se regulační prostředí</w:t>
      </w:r>
    </w:p>
    <w:p w14:paraId="6C1F8689" w14:textId="77777777" w:rsidR="00D16DEF" w:rsidRPr="00A8452A" w:rsidRDefault="00D16DEF" w:rsidP="00D16DEF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Dlouho očekávané změny požadavků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Solvency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II by mohly být v Evropské unii i ve Spojeném království dokončeny v roce 2023. Stejně jako inflace budou mít tyto revize a zpřesnění pravděpodobně dopad na investiční myšlení pojistitelů</w:t>
      </w:r>
      <w:r w:rsidRPr="00A8452A">
        <w:rPr>
          <w:rFonts w:ascii="Arial" w:hAnsi="Arial" w:cs="Arial"/>
          <w:color w:val="000000"/>
          <w:sz w:val="22"/>
          <w:szCs w:val="22"/>
        </w:rPr>
        <w:t>.</w:t>
      </w:r>
    </w:p>
    <w:p w14:paraId="4F0B6D22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Vzhledem ke značně rozdílným názorům na optimální směr vývoje existuje možnost, že jednání v EU narazí na překážku. Přesto lze rozumně předpokládat, že návrhy týkající se vymáhání a řešení pojistných událostí budou připraveny do poloviny roku.</w:t>
      </w:r>
    </w:p>
    <w:p w14:paraId="34B0A59A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Ve Spojeném království mezitím ministerstvo financí již zveřejnilo balíček doporučení. Patří mezi ně snížení rizikové marže o 65 % pro životní pojišťovny a o 30 % pro neživotní pojišťovny, jakož i rozšíření kritérií pro aktiva a pasiva pro odpovídající úpravu – což by umožnilo investovat do širšího spektra aktiv.</w:t>
      </w:r>
    </w:p>
    <w:p w14:paraId="24B356C8" w14:textId="2232A8A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Regulační orgány jsou rovněž připraveny zachovat – a dokonce zintenzivnit kladení důrazu na udržitelnost v roce 2023. Například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European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Insurance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and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Occupational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Pensions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Authority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–</w:t>
      </w: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evropský orgán pro pojišťovnictví a zaměstnanecké penzijní pojištění v EU i britský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Prudential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Regulation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Authority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budou nadále kontrolovat</w:t>
      </w: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>,</w:t>
      </w: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jak se posouvá začleňování klimatických rizik.</w:t>
      </w:r>
    </w:p>
    <w:p w14:paraId="14B2C021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V souvislosti s tím byl EIOPĚ udělen mandát k prošetření "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greenwashingu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" v pojišťovnictví – zejména s ohledem na dodržování nařízení o zveřejňování informací o udržitelném financování, taxonomii EU a preferencích udržitelnosti podle směrnice o distribuci pojištění. </w:t>
      </w:r>
    </w:p>
    <w:p w14:paraId="32EC2386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Pod drobnohledem zůstane i ochrana spotřebitele. V červenci má vstoupit v platnost zásada britského úřadu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Financial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Conduct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Authority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o povinnosti spotřebitele, která bude všechny poskytovatele finančních služeb zavazovat k tomu, aby jednali v nejlepším zájmu svých klientů, zatímco EIOPA pravděpodobně začne uplatňovat novou metodiku pro měření hodnoty za peníze u produktů vázaných na podílové listy.</w:t>
      </w:r>
    </w:p>
    <w:p w14:paraId="56359A46" w14:textId="77777777" w:rsidR="00D16DEF" w:rsidRPr="00D16DEF" w:rsidRDefault="00D16DEF" w:rsidP="00D16DEF">
      <w:pPr>
        <w:pStyle w:val="Normlnweb"/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</w:pPr>
      <w:r w:rsidRPr="00D16DEF">
        <w:rPr>
          <w:rFonts w:ascii="Invesco Interstate Bold" w:eastAsia="Times New Roman" w:hAnsi="Invesco Interstate Bold"/>
          <w:b/>
          <w:bCs/>
          <w:sz w:val="22"/>
          <w:szCs w:val="22"/>
          <w:lang w:eastAsia="de-DE"/>
        </w:rPr>
        <w:t>Výhody diverzifikace</w:t>
      </w:r>
    </w:p>
    <w:p w14:paraId="7129A51F" w14:textId="47E46AB1" w:rsidR="00D16DEF" w:rsidRDefault="00F36FB5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>„</w:t>
      </w:r>
      <w:r w:rsidR="00D16DEF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V současné době je těžké předpovídat s naprostou jistotou. Možná jsme ještě nezažili to nejhorší na trzích, jak připouští náš investiční výhled na rok 2023. Přesto se zdá být rozumné dospět k několika závěrům o dalším vývoji</w:t>
      </w:r>
      <w:r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,“</w:t>
      </w: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říká </w:t>
      </w:r>
      <w:r>
        <w:rPr>
          <w:rFonts w:ascii="Arial" w:hAnsi="Arial" w:cs="Arial"/>
          <w:color w:val="000000"/>
          <w:sz w:val="21"/>
          <w:szCs w:val="21"/>
        </w:rPr>
        <w:t xml:space="preserve">Charles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Moussier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7FE02789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Nejdůležitějším z nich je asi to, že "obvyklý postup" pravděpodobně nebude ideálním vodítkem pro investiční rozhodování pojistitelů. Staré zvyky se sice těžko opouští, jak naznačil </w:t>
      </w:r>
      <w:proofErr w:type="spellStart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Keynes</w:t>
      </w:r>
      <w:proofErr w:type="spellEnd"/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t>, ale ve skutečnosti se jen zřídka hodí pro situace, které se vyznačují radikálními změnami a výkyvy.</w:t>
      </w:r>
    </w:p>
    <w:p w14:paraId="7BB2C6E7" w14:textId="35EC0FC6" w:rsidR="00D16DEF" w:rsidRPr="00F36FB5" w:rsidRDefault="00F36FB5" w:rsidP="00D16DEF">
      <w:pPr>
        <w:pStyle w:val="Normlnweb"/>
        <w:jc w:val="both"/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</w:pPr>
      <w:r>
        <w:rPr>
          <w:rFonts w:ascii="Invesco Interstate Light" w:eastAsia="Times New Roman" w:hAnsi="Invesco Interstate Light"/>
          <w:sz w:val="22"/>
          <w:szCs w:val="22"/>
          <w:lang w:eastAsia="de-DE"/>
        </w:rPr>
        <w:t>„</w:t>
      </w:r>
      <w:r w:rsidR="00D16DEF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Dalším klíčovým závěrem – který úzce souvisí s výše uvedeným – je, že často citované pořekadlo o tom, že není vhodné dávat všechna vejce do jednoho košíku, se stalo obzvláště výstižným. Pojišťovny, které se v nejistých dobách spoléhají na konvenční aktiva s pevným výnosem, si musí uvědomit pravděpodobné výhody diverzifikace.</w:t>
      </w:r>
    </w:p>
    <w:p w14:paraId="027FC791" w14:textId="289FC1AE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Zmatky způsobené inflací nás budou ještě nějakou dobu provázet, a to i v těch nejoptimističtějších prognózách. To znamená, že zajištění proti inflaci bude mít pravděpodobně místo v dobře sestaveném, prozíravém portfoliu s různými aktivy</w:t>
      </w:r>
      <w:r w:rsidR="00F36FB5" w:rsidRPr="00F36FB5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,“</w:t>
      </w:r>
      <w:r w:rsidR="00F36FB5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dodává </w:t>
      </w:r>
      <w:r w:rsidR="00F36FB5" w:rsidRPr="00BC2B2D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Charles </w:t>
      </w:r>
      <w:proofErr w:type="spellStart"/>
      <w:r w:rsidR="00F36FB5" w:rsidRPr="00BC2B2D">
        <w:rPr>
          <w:rFonts w:ascii="Invesco Interstate Light" w:eastAsia="Times New Roman" w:hAnsi="Invesco Interstate Light"/>
          <w:sz w:val="22"/>
          <w:szCs w:val="22"/>
          <w:lang w:eastAsia="de-DE"/>
        </w:rPr>
        <w:t>Moussier</w:t>
      </w:r>
      <w:proofErr w:type="spellEnd"/>
      <w:r w:rsidR="00F36FB5" w:rsidRPr="00BC2B2D">
        <w:rPr>
          <w:rFonts w:ascii="Invesco Interstate Light" w:eastAsia="Times New Roman" w:hAnsi="Invesco Interstate Light"/>
          <w:sz w:val="22"/>
          <w:szCs w:val="22"/>
          <w:lang w:eastAsia="de-DE"/>
        </w:rPr>
        <w:t>.</w:t>
      </w:r>
    </w:p>
    <w:p w14:paraId="5FA0D946" w14:textId="77777777" w:rsidR="00D16DEF" w:rsidRPr="00D16DEF" w:rsidRDefault="00D16DEF" w:rsidP="00D16DEF">
      <w:pPr>
        <w:pStyle w:val="Normlnweb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D16DEF">
        <w:rPr>
          <w:rFonts w:ascii="Invesco Interstate Light" w:eastAsia="Times New Roman" w:hAnsi="Invesco Interstate Light"/>
          <w:sz w:val="22"/>
          <w:szCs w:val="22"/>
          <w:lang w:eastAsia="de-DE"/>
        </w:rPr>
        <w:lastRenderedPageBreak/>
        <w:t>V oblasti dluhů existuje několik potenciálně atraktivních možností, včetně seniorních zajištěných úvěrů a dluhů bez ratingu. Zvýšená expozice vůči alternativním investicím s přímou vazbou na inflaci – například nemovitostem, infrastruktuře a komoditám – by také mohla pomoci poskytnout ochranu a generovat solidní výnosy.</w:t>
      </w:r>
    </w:p>
    <w:p w14:paraId="1B8E75A1" w14:textId="77777777" w:rsidR="00083935" w:rsidRPr="00083935" w:rsidRDefault="00083935" w:rsidP="00083935">
      <w:pPr>
        <w:pStyle w:val="Normlnweb"/>
        <w:spacing w:beforeAutospacing="0" w:afterAutospacing="0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083935">
        <w:rPr>
          <w:rFonts w:ascii="Invesco Interstate Light" w:eastAsia="Times New Roman" w:hAnsi="Invesco Interstate Light"/>
          <w:sz w:val="22"/>
          <w:szCs w:val="22"/>
          <w:lang w:eastAsia="de-DE"/>
        </w:rPr>
        <w:t>A co je důležité, tento druh diverzifikace může být také považován za zásadní pro splnění rostoucích regulačních požadavků. Je to proto, že konvenční strategie by se mohly ukázat jako nedostatečné při řízení rizik spojených s rychle se vyvíjejícím ekonomickým prostředím – což by mohlo vést k nedostatkům při zajišťování udržitelnosti, uspokojování zájmů klientů a poskytování hodnoty za peníze.</w:t>
      </w:r>
    </w:p>
    <w:p w14:paraId="6B56F998" w14:textId="77777777" w:rsidR="00083935" w:rsidRDefault="00083935" w:rsidP="00083935">
      <w:pPr>
        <w:rPr>
          <w:rFonts w:ascii="Arial" w:hAnsi="Arial" w:cs="Arial"/>
          <w:b/>
          <w:bCs/>
          <w:color w:val="000000"/>
          <w:lang w:eastAsia="cs-CZ"/>
        </w:rPr>
      </w:pPr>
    </w:p>
    <w:p w14:paraId="747BCCC7" w14:textId="1E44B49C" w:rsidR="00083935" w:rsidRDefault="00083935" w:rsidP="00083935">
      <w:pPr>
        <w:rPr>
          <w:rFonts w:ascii="Invesco Interstate Bold" w:hAnsi="Invesco Interstate Bold"/>
          <w:b/>
          <w:bCs/>
          <w:sz w:val="22"/>
          <w:szCs w:val="22"/>
        </w:rPr>
      </w:pPr>
      <w:r w:rsidRPr="00083935">
        <w:rPr>
          <w:rFonts w:ascii="Invesco Interstate Bold" w:hAnsi="Invesco Interstate Bold"/>
          <w:b/>
          <w:bCs/>
          <w:sz w:val="22"/>
          <w:szCs w:val="22"/>
        </w:rPr>
        <w:t>Závěr: flexibilita a perspektiva</w:t>
      </w:r>
    </w:p>
    <w:p w14:paraId="4CD1779F" w14:textId="77777777" w:rsidR="00083935" w:rsidRPr="00083935" w:rsidRDefault="00083935" w:rsidP="00083935">
      <w:pPr>
        <w:rPr>
          <w:rFonts w:ascii="Invesco Interstate Bold" w:hAnsi="Invesco Interstate Bold"/>
          <w:b/>
          <w:bCs/>
          <w:sz w:val="22"/>
          <w:szCs w:val="22"/>
        </w:rPr>
      </w:pPr>
    </w:p>
    <w:p w14:paraId="53F24652" w14:textId="77777777" w:rsidR="00083935" w:rsidRPr="00083935" w:rsidRDefault="00083935" w:rsidP="0008393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83935">
        <w:rPr>
          <w:rFonts w:ascii="Invesco Interstate Light" w:hAnsi="Invesco Interstate Light"/>
          <w:sz w:val="22"/>
          <w:szCs w:val="22"/>
        </w:rPr>
        <w:t>Diverzifikace v žádném případě není lék na všechny neduhy. Pro mnoho pojistitelů by však mohla představovat přesvědčivý protiklad ke strategiím, které v podstatě dělají stále totéž.</w:t>
      </w:r>
    </w:p>
    <w:p w14:paraId="21B1965A" w14:textId="77777777" w:rsidR="00083935" w:rsidRDefault="00083935" w:rsidP="00083935">
      <w:pPr>
        <w:rPr>
          <w:rFonts w:ascii="Arial" w:hAnsi="Arial" w:cs="Arial"/>
          <w:color w:val="000000"/>
          <w:lang w:eastAsia="cs-CZ"/>
        </w:rPr>
      </w:pPr>
    </w:p>
    <w:p w14:paraId="6C0D0D19" w14:textId="2E4F7995" w:rsidR="00083935" w:rsidRDefault="00083935" w:rsidP="0008393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083935">
        <w:rPr>
          <w:rFonts w:ascii="Invesco Interstate Light" w:hAnsi="Invesco Interstate Light"/>
          <w:sz w:val="22"/>
          <w:szCs w:val="22"/>
        </w:rPr>
        <w:t>Takový přístup ignoruje nepříjemnou pravdu, že to, co dobře fungovalo v minulosti, nemusí tak dobře fungovat v budoucnosti. Přehlíží také skutečnost, že pojistitelé, stejně jako všichni investoři, musí reagovat na to, co se děje kolem nich.</w:t>
      </w:r>
    </w:p>
    <w:p w14:paraId="39F81781" w14:textId="7DAA898D" w:rsidR="00083935" w:rsidRDefault="00083935" w:rsidP="0008393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84811CF" w14:textId="7FC28E6D" w:rsidR="00D16DEF" w:rsidRPr="00D16DEF" w:rsidRDefault="00083935" w:rsidP="0008393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083935">
        <w:rPr>
          <w:rFonts w:ascii="Invesco Interstate Light" w:hAnsi="Invesco Interstate Light"/>
          <w:sz w:val="22"/>
          <w:szCs w:val="22"/>
        </w:rPr>
        <w:t>Keynes</w:t>
      </w:r>
      <w:proofErr w:type="spellEnd"/>
      <w:r w:rsidRPr="00083935">
        <w:rPr>
          <w:rFonts w:ascii="Invesco Interstate Light" w:hAnsi="Invesco Interstate Light"/>
          <w:sz w:val="22"/>
          <w:szCs w:val="22"/>
        </w:rPr>
        <w:t xml:space="preserve"> k tomu měl také co říci: "Když se mé informace změní," řekl, "změním své závěry." To je pravda. V souladu s jeho étosem je nyní čas být flexibilní a myslet dopředu.</w:t>
      </w:r>
    </w:p>
    <w:p w14:paraId="22771E90" w14:textId="77777777" w:rsidR="00D16DEF" w:rsidRPr="00D16DEF" w:rsidRDefault="00D16DEF" w:rsidP="59A5D358">
      <w:pPr>
        <w:autoSpaceDE w:val="0"/>
        <w:autoSpaceDN w:val="0"/>
        <w:adjustRightInd w:val="0"/>
        <w:spacing w:line="240" w:lineRule="auto"/>
        <w:rPr>
          <w:rFonts w:ascii="Invesco Interstate Bold" w:hAnsi="Invesco Interstate Bold"/>
          <w:b/>
          <w:bCs/>
          <w:sz w:val="22"/>
          <w:szCs w:val="22"/>
        </w:rPr>
      </w:pPr>
    </w:p>
    <w:p w14:paraId="5A258312" w14:textId="77777777" w:rsidR="00B15E12" w:rsidRDefault="00B15E12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Invesco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C0F4" w14:textId="77777777" w:rsidR="00F162BE" w:rsidRDefault="00F162BE">
      <w:r>
        <w:separator/>
      </w:r>
    </w:p>
  </w:endnote>
  <w:endnote w:type="continuationSeparator" w:id="0">
    <w:p w14:paraId="1663B720" w14:textId="77777777" w:rsidR="00F162BE" w:rsidRDefault="00F162BE">
      <w:r>
        <w:continuationSeparator/>
      </w:r>
    </w:p>
  </w:endnote>
  <w:endnote w:type="continuationNotice" w:id="1">
    <w:p w14:paraId="43A31504" w14:textId="77777777" w:rsidR="00F162BE" w:rsidRDefault="00F162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E2BC" w14:textId="77777777" w:rsidR="00F162BE" w:rsidRDefault="00F162BE">
      <w:r>
        <w:separator/>
      </w:r>
    </w:p>
  </w:footnote>
  <w:footnote w:type="continuationSeparator" w:id="0">
    <w:p w14:paraId="03C57D95" w14:textId="77777777" w:rsidR="00F162BE" w:rsidRDefault="00F162BE">
      <w:r>
        <w:continuationSeparator/>
      </w:r>
    </w:p>
  </w:footnote>
  <w:footnote w:type="continuationNotice" w:id="1">
    <w:p w14:paraId="2FEF3F9A" w14:textId="77777777" w:rsidR="00F162BE" w:rsidRDefault="00F162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050BF583" w:rsidR="00702C33" w:rsidRPr="000730A6" w:rsidRDefault="001F40EA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6</w:t>
    </w:r>
    <w:r w:rsidR="0093103A">
      <w:rPr>
        <w:color w:val="000000"/>
        <w:sz w:val="23"/>
        <w:szCs w:val="23"/>
      </w:rPr>
      <w:t>.</w:t>
    </w:r>
    <w:r w:rsidR="007816D9">
      <w:rPr>
        <w:color w:val="000000"/>
        <w:sz w:val="23"/>
        <w:szCs w:val="23"/>
      </w:rPr>
      <w:t>ledna</w:t>
    </w:r>
    <w:r w:rsidR="0093103A">
      <w:rPr>
        <w:color w:val="000000"/>
        <w:sz w:val="23"/>
        <w:szCs w:val="23"/>
      </w:rPr>
      <w:t xml:space="preserve"> 202</w:t>
    </w:r>
    <w:r w:rsidR="007816D9">
      <w:rPr>
        <w:color w:val="000000"/>
        <w:sz w:val="23"/>
        <w:szCs w:val="23"/>
      </w:rPr>
      <w:t>3</w:t>
    </w: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C914F4B"/>
    <w:multiLevelType w:val="hybridMultilevel"/>
    <w:tmpl w:val="4FA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745F"/>
    <w:multiLevelType w:val="hybridMultilevel"/>
    <w:tmpl w:val="17CA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74CF"/>
    <w:multiLevelType w:val="hybridMultilevel"/>
    <w:tmpl w:val="D818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68D"/>
    <w:multiLevelType w:val="hybridMultilevel"/>
    <w:tmpl w:val="A5228DA0"/>
    <w:lvl w:ilvl="0" w:tplc="19C63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D70"/>
    <w:multiLevelType w:val="multilevel"/>
    <w:tmpl w:val="11820CCE"/>
    <w:numStyleLink w:val="FormatvorlageAufgezhlt"/>
  </w:abstractNum>
  <w:abstractNum w:abstractNumId="11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30B23"/>
    <w:multiLevelType w:val="multilevel"/>
    <w:tmpl w:val="11820CCE"/>
    <w:numStyleLink w:val="FormatvorlageAufgezhlt"/>
  </w:abstractNum>
  <w:abstractNum w:abstractNumId="14" w15:restartNumberingAfterBreak="0">
    <w:nsid w:val="57FB6EB0"/>
    <w:multiLevelType w:val="hybridMultilevel"/>
    <w:tmpl w:val="33F8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403C3"/>
    <w:multiLevelType w:val="multilevel"/>
    <w:tmpl w:val="11820CCE"/>
    <w:numStyleLink w:val="FormatvorlageAufgezhlt"/>
  </w:abstractNum>
  <w:abstractNum w:abstractNumId="19" w15:restartNumberingAfterBreak="0">
    <w:nsid w:val="6C6C4721"/>
    <w:multiLevelType w:val="multilevel"/>
    <w:tmpl w:val="11820CCE"/>
    <w:numStyleLink w:val="FormatvorlageAufgezhlt"/>
  </w:abstractNum>
  <w:abstractNum w:abstractNumId="20" w15:restartNumberingAfterBreak="0">
    <w:nsid w:val="74E5380B"/>
    <w:multiLevelType w:val="multilevel"/>
    <w:tmpl w:val="11820CCE"/>
    <w:numStyleLink w:val="FormatvorlageAufgezhlt"/>
  </w:abstractNum>
  <w:abstractNum w:abstractNumId="21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11"/>
  </w:num>
  <w:num w:numId="3" w16cid:durableId="1018385507">
    <w:abstractNumId w:val="16"/>
  </w:num>
  <w:num w:numId="4" w16cid:durableId="1827627993">
    <w:abstractNumId w:val="12"/>
  </w:num>
  <w:num w:numId="5" w16cid:durableId="1045980682">
    <w:abstractNumId w:val="13"/>
  </w:num>
  <w:num w:numId="6" w16cid:durableId="233898162">
    <w:abstractNumId w:val="18"/>
  </w:num>
  <w:num w:numId="7" w16cid:durableId="354037280">
    <w:abstractNumId w:val="19"/>
  </w:num>
  <w:num w:numId="8" w16cid:durableId="1069617806">
    <w:abstractNumId w:val="1"/>
  </w:num>
  <w:num w:numId="9" w16cid:durableId="846021257">
    <w:abstractNumId w:val="20"/>
  </w:num>
  <w:num w:numId="10" w16cid:durableId="1441952391">
    <w:abstractNumId w:val="10"/>
  </w:num>
  <w:num w:numId="11" w16cid:durableId="201014381">
    <w:abstractNumId w:val="3"/>
  </w:num>
  <w:num w:numId="12" w16cid:durableId="1103376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21"/>
  </w:num>
  <w:num w:numId="14" w16cid:durableId="1040126726">
    <w:abstractNumId w:val="22"/>
  </w:num>
  <w:num w:numId="15" w16cid:durableId="638264912">
    <w:abstractNumId w:val="15"/>
  </w:num>
  <w:num w:numId="16" w16cid:durableId="2042582474">
    <w:abstractNumId w:val="6"/>
  </w:num>
  <w:num w:numId="17" w16cid:durableId="2024210764">
    <w:abstractNumId w:val="2"/>
  </w:num>
  <w:num w:numId="18" w16cid:durableId="1690450397">
    <w:abstractNumId w:val="17"/>
  </w:num>
  <w:num w:numId="19" w16cid:durableId="930966678">
    <w:abstractNumId w:val="4"/>
  </w:num>
  <w:num w:numId="20" w16cid:durableId="60954917">
    <w:abstractNumId w:val="14"/>
  </w:num>
  <w:num w:numId="21" w16cid:durableId="1633557468">
    <w:abstractNumId w:val="9"/>
  </w:num>
  <w:num w:numId="22" w16cid:durableId="286203332">
    <w:abstractNumId w:val="8"/>
  </w:num>
  <w:num w:numId="23" w16cid:durableId="859584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3423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175F7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3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35"/>
    <w:rsid w:val="00083A80"/>
    <w:rsid w:val="00083C0A"/>
    <w:rsid w:val="00083E86"/>
    <w:rsid w:val="0008487A"/>
    <w:rsid w:val="00085077"/>
    <w:rsid w:val="0008532D"/>
    <w:rsid w:val="0008541B"/>
    <w:rsid w:val="0008579B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DC9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623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6492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0F5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0E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07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F35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77371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44C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29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1BA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4D90"/>
    <w:rsid w:val="00455C75"/>
    <w:rsid w:val="0046020E"/>
    <w:rsid w:val="0046076E"/>
    <w:rsid w:val="00460A9E"/>
    <w:rsid w:val="00461115"/>
    <w:rsid w:val="00461AAC"/>
    <w:rsid w:val="004622EF"/>
    <w:rsid w:val="00462335"/>
    <w:rsid w:val="004625C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D7BF5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1BDC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4506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56AE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368F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0FFB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791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5F0"/>
    <w:rsid w:val="00773FD5"/>
    <w:rsid w:val="00774C81"/>
    <w:rsid w:val="00775F13"/>
    <w:rsid w:val="0077600D"/>
    <w:rsid w:val="00776EE9"/>
    <w:rsid w:val="00777655"/>
    <w:rsid w:val="00780699"/>
    <w:rsid w:val="00780D60"/>
    <w:rsid w:val="007816D9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4E8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D738C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4AC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51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003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FD3"/>
    <w:rsid w:val="008A48FF"/>
    <w:rsid w:val="008A574D"/>
    <w:rsid w:val="008A65B5"/>
    <w:rsid w:val="008A66F4"/>
    <w:rsid w:val="008A762F"/>
    <w:rsid w:val="008A7A2F"/>
    <w:rsid w:val="008A7DAE"/>
    <w:rsid w:val="008B0871"/>
    <w:rsid w:val="008B13B4"/>
    <w:rsid w:val="008B1AEF"/>
    <w:rsid w:val="008B29FD"/>
    <w:rsid w:val="008B2C0E"/>
    <w:rsid w:val="008B2E46"/>
    <w:rsid w:val="008B3519"/>
    <w:rsid w:val="008B48F5"/>
    <w:rsid w:val="008B526F"/>
    <w:rsid w:val="008B5FFE"/>
    <w:rsid w:val="008B60AD"/>
    <w:rsid w:val="008B6191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20B"/>
    <w:rsid w:val="008F56CE"/>
    <w:rsid w:val="008F59F8"/>
    <w:rsid w:val="008F5A28"/>
    <w:rsid w:val="008F5CE1"/>
    <w:rsid w:val="008F716C"/>
    <w:rsid w:val="00900093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103A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5B1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5CC9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372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8E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78B"/>
    <w:rsid w:val="00AC3AFB"/>
    <w:rsid w:val="00AC4492"/>
    <w:rsid w:val="00AC48D3"/>
    <w:rsid w:val="00AC4BCC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1BF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5E1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49"/>
    <w:rsid w:val="00B457B9"/>
    <w:rsid w:val="00B4653C"/>
    <w:rsid w:val="00B469F6"/>
    <w:rsid w:val="00B4705F"/>
    <w:rsid w:val="00B4796E"/>
    <w:rsid w:val="00B50104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0F2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2B2D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5CA2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46A6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18D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444"/>
    <w:rsid w:val="00D15985"/>
    <w:rsid w:val="00D1636C"/>
    <w:rsid w:val="00D16DEF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59C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6D8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2BE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18C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6FB5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61D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5739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0F56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6</cp:revision>
  <cp:lastPrinted>2021-02-17T20:24:00Z</cp:lastPrinted>
  <dcterms:created xsi:type="dcterms:W3CDTF">2023-01-06T13:34:00Z</dcterms:created>
  <dcterms:modified xsi:type="dcterms:W3CDTF">2023-01-06T13:37:00Z</dcterms:modified>
</cp:coreProperties>
</file>